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МЕСТА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ДОБЫЧИ (ВЫЛОВА) ГОРБУШИ С ИСПОЛЬЗОВАНИЕМ УДЕБНЫХ ОРУДИЙ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ДОБЫЧИ (ВЫЛОВА) И СТАВНЫХ СЕТЕЙ В ПРИЛЕГАЮЩИХ К ТЕРРИТОРИИ САХАЛИНСКОЙ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ОБЛАСТИ ВНУТРЕННИХ МОРСКИХ ВОДАХ РОССИЙСКОЙ ФЕДЕРАЦИИ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 ТЕРРИТОРИАЛЬНОМ МОРЕ РОССИЙСКОЙ ФЕДЕРАЦИИ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(с информацией о пользователях рыболовных участков для согласования в соответствии с подпунктом «г» пункта 53 Правил рыболовства для Дальневосточного рыбохозяйственного бассейна)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(на участках побережья где нет пользователя – согласование не требуется)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" w:line="259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763.000000000001" w:type="dxa"/>
        <w:jc w:val="left"/>
        <w:tblInd w:w="-108.0" w:type="dxa"/>
        <w:tblLayout w:type="fixed"/>
        <w:tblLook w:val="0000"/>
      </w:tblPr>
      <w:tblGrid>
        <w:gridCol w:w="1101"/>
        <w:gridCol w:w="850"/>
        <w:gridCol w:w="5812"/>
        <w:tblGridChange w:id="0">
          <w:tblGrid>
            <w:gridCol w:w="1101"/>
            <w:gridCol w:w="850"/>
            <w:gridCol w:w="5812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d9ead3" w:val="clear"/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Согласована добыча (вылов) горбуши удебными и сетными орудиями лова.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shd w:fill="fff2cc" w:val="clear"/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Согласована добыча (вылов) горбуши исключительно удебными орудиями лова.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shd w:fill="f4cccc" w:val="clear"/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Вылов (добыча) горбуши запрещена в связи с отсутствием согласования от пользователя рыболовного участка</w:t>
            </w:r>
          </w:p>
        </w:tc>
      </w:tr>
    </w:tbl>
    <w:p w:rsidR="00000000" w:rsidDel="00000000" w:rsidP="00000000" w:rsidRDefault="00000000" w:rsidRPr="00000000" w14:paraId="0000001B">
      <w:pPr>
        <w:widowControl w:val="0"/>
        <w:ind w:firstLine="54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ind w:firstLine="54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Информация по согласованию актуальна по состоянию на 10.06.2024. Работа по получению согласований продолжается.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55.0" w:type="dxa"/>
        <w:jc w:val="left"/>
        <w:tblInd w:w="-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90"/>
        <w:gridCol w:w="8865"/>
        <w:tblGridChange w:id="0">
          <w:tblGrid>
            <w:gridCol w:w="690"/>
            <w:gridCol w:w="8865"/>
          </w:tblGrid>
        </w:tblGridChange>
      </w:tblGrid>
      <w:tr>
        <w:trPr>
          <w:cantSplit w:val="0"/>
          <w:trHeight w:val="424" w:hRule="atLeast"/>
          <w:tblHeader w:val="0"/>
        </w:trPr>
        <w:tc>
          <w:tcPr>
            <w:gridSpan w:val="2"/>
            <w:shd w:fill="cfe2f3" w:val="clear"/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Городской округ «Охинский» (восточное побережье острова Сахалин)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fff2cc" w:val="clear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Залив Коленду – залив Пильтун (входной фарватер)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ООО «Оха»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gridSpan w:val="2"/>
            <w:shd w:fill="cfe2f3" w:val="clear"/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Городской округ «Охинский» (западное побережье острова Сахалин)</w:t>
            </w:r>
          </w:p>
        </w:tc>
      </w:tr>
      <w:tr>
        <w:trPr>
          <w:cantSplit w:val="1"/>
          <w:trHeight w:val="42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от мыса Иль-Ых до реки Пильтун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 том числе: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от мыса Иль-Ых до точки 4 км севернее мыса Прони</w:t>
            </w:r>
          </w:p>
        </w:tc>
      </w:tr>
      <w:tr>
        <w:trPr>
          <w:cantSplit w:val="1"/>
          <w:trHeight w:val="42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 км севернее мыса Прони до мыса Прони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ООО «Станица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»</w:t>
            </w:r>
          </w:p>
        </w:tc>
      </w:tr>
      <w:tr>
        <w:trPr>
          <w:cantSplit w:val="1"/>
          <w:trHeight w:val="42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от мыса Прони до реки Пильтун (нежилой Музьма)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ООО «Рыбновский лосось»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gridSpan w:val="2"/>
            <w:shd w:fill="cfe2f3" w:val="clear"/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Городской округ «Ногликский»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d9ead3" w:val="clear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мыс Тамара – 3 км южнее мыса Тамара (Набильский залив)</w:t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cfe2f3" w:val="clear"/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Городской округ «Смирныховский» (западное побережье острова Сахалин)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0,1 км южнее реки Пильво – мыс Корсакова (Коврижка)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0,1 км южнее реки Пильво до 0,5 км южнее реки Пильво, 0,5 км южнее реки Пильво до 2 км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южнее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реки Пильво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ООО «Энрей»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2 км южнее реки Пильво до мыс Корсакова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0,1 км севернее устья реки Пильво – 0,1 км южнее устья реки Ксайна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ООО «Садко»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cfe2f3" w:val="clear"/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Городской округ «Смирныховский» (восточное побережье острова Сахалин)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ead3" w:val="clear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0,1 км южнее устья реки Лангери – 0,1 км севернее устья реки Большая Хузи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ООО «Плавник»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ead3" w:val="clear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0,1 км южнее устья реки Окружная – 0,1 км севернее устья реки Хой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ООО «Садко»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gridSpan w:val="2"/>
            <w:tcBorders>
              <w:top w:color="000000" w:space="0" w:sz="4" w:val="single"/>
            </w:tcBorders>
            <w:shd w:fill="cfe2f3" w:val="clear"/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Городской округ «Поронайский»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shd w:fill="f4cccc" w:val="clear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0,1 км севернее устья реки Гастелловка – 1 км севернее устья реки Гастелловка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СПТК РК «Дружба»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shd w:fill="f4cccc" w:val="clear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км севернее устья реки Поронай – 2 км севернее устья реки Поронай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СПТК РК «Дружба»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shd w:fill="d9ead3" w:val="clear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км южнее устья реки Поронай – 2 км южнее устья реки Поронай </w:t>
            </w:r>
          </w:p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ООО «Поронайский зверосовхоз»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gridSpan w:val="2"/>
            <w:shd w:fill="cfe2f3" w:val="clear"/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Городской округ «Долинский»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shd w:fill="fff2cc" w:val="clear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км южнее реки Найба – 1,5 км. южнее реки Найба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ООО «Фереза»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shd w:fill="fff2cc" w:val="clear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км севернее устья реки Найба – 2 км севернее устья реки Найба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ООО «Меридиан»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shd w:fill="d9ead3" w:val="clear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Порт-ковш Стародубский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0.5 км южнее порт-ковша Стародубский</w:t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gridSpan w:val="2"/>
            <w:shd w:fill="cfe2f3" w:val="clear"/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Городской округ «Корсаковский»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shd w:fill="d9ead3" w:val="clear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0,1 км западнее устья реки Мерея - 1 км западнее устья реки Мерея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shd w:fill="d9ead3" w:val="clear"/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от поселка Новиково на юг 1 км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shd w:fill="f4cccc" w:val="clear"/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км южнее пролива Красноармейский - 1 км южнее пролива Красноармейский (село Охотское)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ООО «Салмо Плюс»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gridSpan w:val="2"/>
            <w:shd w:fill="cfe2f3" w:val="clear"/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Городской округ «Анивский район»</w:t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shd w:fill="d9ead3" w:val="clear"/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0,5 км севернее устья реки Таранай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км севернее устья реки Таранай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ООО «Таранай»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 км севернее устья реки Таранай - 2 км севернее устья реки Таранай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ООО «Ника»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shd w:fill="d9ead3" w:val="clear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км севернее устья реки Лютога - 2 км севернее устья реки Лютога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ОАО «Сампкоэр»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shd w:fill="d9ead3" w:val="clear"/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км южнее устья реки Лютога - 2 км южнее устья реки Лютога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ОАО «Сампкоэр»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gridSpan w:val="2"/>
            <w:shd w:fill="cfe2f3" w:val="clear"/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Городской округ «Александровск-Сахалинский район»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shd w:fill="d9ead3" w:val="clear"/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0,1 км севернее устья реки Большая Александровка - 0,1 км южнее устья реки Первая Половинка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ООО «Татарский пролив»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shd w:fill="d9ead3" w:val="clear"/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0,1 км южнее устья реки Арково - 2 км южнее устья реки Арково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shd w:fill="d9ead3" w:val="clear"/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0,1 км севернее устья реки Арково - 2 км севернее устья реки Арково </w:t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gridSpan w:val="2"/>
            <w:shd w:fill="cfe2f3" w:val="clear"/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Городской округ «Углегорский»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shd w:fill="d9ead3" w:val="clear"/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0,1 км южнее устья реки Покосная - 1 км южнее устья реки Покосная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ООО «Зюйд-Вест»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shd w:fill="d9ead3" w:val="clear"/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0,1 км южнее устья реки Орловка - 1 км южнее устья реки Орловка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ООО «Зюйд-Вест»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shd w:fill="d9ead3" w:val="clear"/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0,1 км южнее устья реки Лесогорка - 1 км южнее устья реки Лесогорка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shd w:fill="d9ead3" w:val="clear"/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от мыса Торговый до мыса Чехова 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ОАО «Сампкоэр»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gridSpan w:val="2"/>
            <w:shd w:fill="cfe2f3" w:val="clear"/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Городской округ «Томаринский»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shd w:fill="d9ead3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0,1 км севернее устья реки Томаринка - 1,5 км севернее устья реки Томаринка 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ООО «Невод»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shd w:fill="d9ead3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0,1 км севернее устья реки Ильинка - 1,5 км севернее устья реки Ильинка 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ПК «Темп»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shd w:fill="d9ead3" w:val="clear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0,1 км севернее устья реки Красногорка - 1,5 км севернее устья реки Красногорка </w:t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gridSpan w:val="2"/>
            <w:shd w:fill="cfe2f3" w:val="clear"/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Городской округ «Холмский»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shd w:fill="d9ead3" w:val="clear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0,1 км южнее устья реки Новь - 2 км южнее устья реки Новь 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ООО «Прибой-Восток»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>
            <w:shd w:fill="d9ead3" w:val="clear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0,1 км севернее устья ручья Садовый - 2 км севернее устья ручья Садовый 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ООО «Прибой-Восток»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gridSpan w:val="2"/>
            <w:shd w:fill="cfe2f3" w:val="clear"/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Городской округ «Невельский»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32</w:t>
            </w:r>
          </w:p>
        </w:tc>
        <w:tc>
          <w:tcPr>
            <w:shd w:fill="d9ead3" w:val="clear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0,1 км севернее устья реки Ловецкая - 0,6 км севернее устья реки Ловецкая 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ООО «Легион»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33</w:t>
            </w:r>
          </w:p>
        </w:tc>
        <w:tc>
          <w:tcPr>
            <w:shd w:fill="d9ead3" w:val="clear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0,5 км южнее устья реки Ясноморка - 1 км южнее устья реки Ясноморка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34</w:t>
            </w:r>
          </w:p>
        </w:tc>
        <w:tc>
          <w:tcPr>
            <w:shd w:fill="d9ead3" w:val="clear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0,1 км южнее устья реки Шебунинка - 1 км южнее устья реки Шебунинка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35</w:t>
            </w:r>
          </w:p>
        </w:tc>
        <w:tc>
          <w:tcPr>
            <w:shd w:fill="d9ead3" w:val="clear"/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0,1 км севернее устья реки Шебунинка - 1 км севернее устья реки Шебунинка 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ООО «Волна»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  <w:tc>
          <w:tcPr>
            <w:shd w:fill="d9ead3" w:val="clear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0,5 км южнее устья реки Сокольники - 1 км южнее устья реки Сокольники </w:t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gridSpan w:val="2"/>
            <w:shd w:fill="cfe2f3" w:val="clear"/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Городской округ «Северо-Курильский»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37</w:t>
            </w:r>
          </w:p>
        </w:tc>
        <w:tc>
          <w:tcPr>
            <w:shd w:fill="d9ead3" w:val="clear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от мыса Округлый до бухты Кашалот</w:t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gridSpan w:val="2"/>
            <w:shd w:fill="cfe2f3" w:val="clear"/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Городской округ «Курильский»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38</w:t>
            </w:r>
          </w:p>
        </w:tc>
        <w:tc>
          <w:tcPr>
            <w:tcBorders>
              <w:bottom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0,1 км севернее устья реки Рыбацкая - 1 км севернее устья реки Рыбацкая 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ЗАО «Курильский рыбак»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39</w:t>
            </w:r>
          </w:p>
        </w:tc>
        <w:tc>
          <w:tcPr>
            <w:tcBorders>
              <w:bottom w:color="000000" w:space="0" w:sz="4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0,5 км южнее устья реки Куйбышевка - 1,5 км южнее устья реки Куйбышевка 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ООО «Фирма Скит»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0,5 км южнее устья реки Курилка - 1,5 км южнее устья реки Курилка 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ЗАО «Курильский рыбак»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gridSpan w:val="2"/>
            <w:shd w:fill="cfe2f3" w:val="clear"/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Городской округ «Южно-Курильский» (остров Кунашир)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41</w:t>
            </w:r>
          </w:p>
        </w:tc>
        <w:tc>
          <w:tcPr>
            <w:shd w:fill="d9ead3" w:val="clear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км севернее мыса Заводской - 3 км северо-западнее мыса Заводской (бухта Южно-Курильская) 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ООО ПКФ «Южно-Курильский рыбокомбинат»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42</w:t>
            </w:r>
          </w:p>
        </w:tc>
        <w:tc>
          <w:tcPr>
            <w:shd w:fill="f4cccc" w:val="clear"/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км севернее мыса Южно-Курильский - 4 км севернее мыса Южно-Курильский в сторону поселка Отрадное (бухта Головнина) 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ООО ПКФ «Южно-Курильский рыбокомбинат»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43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0,1 км западнее устья реки Головнина - 1,5 км западнее устья реки Головнина (залив Измены)  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ООО ПКФ «Южно-Курильский рыбокомбинат»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44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0,1 км восточнее устья реки Головнина - 1,5 км восточнее устья реки Головнина (залив Измены) 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ООО ПКФ «Южно-Курильский рыбокомбинат»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shd w:fill="d9ead3" w:val="clear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0,5 км южнее протоки озера Лагунное - мыс Столбчатый 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ООО ПКФ «Южно-Курильский рыбокомбинат»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gridSpan w:val="2"/>
            <w:shd w:fill="cfe2f3" w:val="clear"/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Городской округ «Южно-Курильский» (остров Шикотан)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46</w:t>
            </w:r>
          </w:p>
        </w:tc>
        <w:tc>
          <w:tcPr>
            <w:shd w:fill="d9ead3" w:val="clear"/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бухта Крабовая (в границах бухты)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47</w:t>
            </w:r>
          </w:p>
        </w:tc>
        <w:tc>
          <w:tcPr>
            <w:shd w:fill="d9ead3" w:val="clear"/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бухта Малокурильская (в границах бухты)</w:t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cfe2f3" w:val="clear"/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Городской округ «Макаровский»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48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0,1 км южнее устья реки Восточная - 1,1 км южнее устья реки Восточная 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ООО «Инма»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49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0,1 км севернее устья реки Восточная - 1,1 км севернее устья реки Восточная 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ООО «Инма»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0,5 км южнее устья реки Лесная - 1,5 км южнее устья реки Лесная 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ООО «Рыбак»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0,5 км севернее устья реки Лесная - 1,5 км севернее устья реки Лесная 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ООО «Динамо-Макаров»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0,1 км южнее устья реки Макарова - 1,5 км южнее устья реки Макарова 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ООО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Рыбак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»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0,1 км севернее устья реки Макарова - 1,5 км севернее устья реки Макарова 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ООО «Заря»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0,5 км южнее устья реки Нитуй - 1,5 км южнее устья реки Нитуй 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ООО «Туровка»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4cccc" w:val="clear"/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0,5 км севернее устья реки Лазовая - 1,5 км севернее устья реки Лазовая 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ЛРЗ «Л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зовая»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widowControl w:val="0"/>
        <w:ind w:firstLine="540"/>
        <w:jc w:val="center"/>
        <w:rPr>
          <w:sz w:val="22"/>
          <w:szCs w:val="22"/>
        </w:rPr>
      </w:pPr>
      <w:r w:rsidDel="00000000" w:rsidR="00000000" w:rsidRPr="00000000">
        <w:rPr>
          <w:i w:val="1"/>
          <w:rtl w:val="0"/>
        </w:rPr>
        <w:t xml:space="preserve">Информация по согласованию актуальна по состоянию на 10.06.2024. Работа по получению согласований продолжается.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426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onsPlusNormal">
    <w:name w:val="ConsPlusNormal"/>
    <w:next w:val="ConsPlusNormal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ru-RU" w:val="ru-RU"/>
    </w:rPr>
  </w:style>
  <w:style w:type="paragraph" w:styleId="ConsPlusTitle">
    <w:name w:val="ConsPlusTitle"/>
    <w:next w:val="ConsPlusTitle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2"/>
      <w:effect w:val="none"/>
      <w:vertAlign w:val="baseline"/>
      <w:cs w:val="0"/>
      <w:em w:val="none"/>
      <w:lang w:bidi="ar-SA" w:eastAsia="ru-RU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ru-RU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2.0" w:type="dxa"/>
        <w:left w:w="62.0" w:type="dxa"/>
        <w:bottom w:w="102.0" w:type="dxa"/>
        <w:right w:w="62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2.0" w:type="dxa"/>
        <w:left w:w="62.0" w:type="dxa"/>
        <w:bottom w:w="102.0" w:type="dxa"/>
        <w:right w:w="62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2.0" w:type="dxa"/>
        <w:left w:w="62.0" w:type="dxa"/>
        <w:bottom w:w="102.0" w:type="dxa"/>
        <w:right w:w="62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/E5WnPIn8lrBNZOYToxSj0MV4A==">CgMxLjAyCWlkLmdqZGd4czgAciExZEpoUkJMOF8yN1J1aUdsRXBDSlJjSkwwSGs3c2tCWTU=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2023-06-30T05:12:00Z</dcterms:created>
  <dc:creator>Ом Сергей Владимирович</dc:creator>
</cp:coreProperties>
</file>